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0F48" w14:textId="77777777" w:rsidR="00D307C2" w:rsidRPr="009A7BF0" w:rsidRDefault="009A7BF0">
      <w:pPr>
        <w:rPr>
          <w:rFonts w:ascii="Calibri" w:hAnsi="Calibri" w:cs="Calibri"/>
          <w:u w:val="single"/>
        </w:rPr>
      </w:pPr>
      <w:r w:rsidRPr="009A7BF0"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0E4E9EDC" wp14:editId="793122DA">
            <wp:simplePos x="0" y="0"/>
            <wp:positionH relativeFrom="column">
              <wp:posOffset>1640938</wp:posOffset>
            </wp:positionH>
            <wp:positionV relativeFrom="paragraph">
              <wp:posOffset>-499665</wp:posOffset>
            </wp:positionV>
            <wp:extent cx="2680677" cy="1615566"/>
            <wp:effectExtent l="0" t="0" r="0" b="0"/>
            <wp:wrapNone/>
            <wp:docPr id="3" name="Picture 3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drawing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677" cy="1615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E143F5" w14:textId="77777777" w:rsidR="009A7BF0" w:rsidRPr="009A7BF0" w:rsidRDefault="009A7BF0" w:rsidP="009A7BF0">
      <w:pPr>
        <w:rPr>
          <w:rFonts w:ascii="Calibri" w:hAnsi="Calibri" w:cs="Calibri"/>
        </w:rPr>
      </w:pPr>
    </w:p>
    <w:p w14:paraId="7DF8B8C9" w14:textId="77777777" w:rsidR="009A7BF0" w:rsidRPr="009A7BF0" w:rsidRDefault="009A7BF0" w:rsidP="009A7BF0">
      <w:pPr>
        <w:rPr>
          <w:rFonts w:ascii="Calibri" w:hAnsi="Calibri" w:cs="Calibri"/>
        </w:rPr>
      </w:pPr>
    </w:p>
    <w:p w14:paraId="49D5EC5B" w14:textId="77777777" w:rsidR="009A7BF0" w:rsidRPr="009A7BF0" w:rsidRDefault="009A7BF0" w:rsidP="009A7BF0">
      <w:pPr>
        <w:rPr>
          <w:rFonts w:ascii="Calibri" w:hAnsi="Calibri" w:cs="Calibri"/>
        </w:rPr>
      </w:pPr>
    </w:p>
    <w:p w14:paraId="2ED94A48" w14:textId="77777777" w:rsidR="009A7BF0" w:rsidRPr="009A7BF0" w:rsidRDefault="009A7BF0" w:rsidP="009A7BF0">
      <w:pPr>
        <w:rPr>
          <w:rFonts w:ascii="Calibri" w:hAnsi="Calibri" w:cs="Calibri"/>
        </w:rPr>
      </w:pPr>
    </w:p>
    <w:p w14:paraId="61038339" w14:textId="77777777" w:rsidR="009A7BF0" w:rsidRPr="009A7BF0" w:rsidRDefault="009A7BF0" w:rsidP="009A7BF0">
      <w:pPr>
        <w:rPr>
          <w:rFonts w:ascii="Calibri" w:hAnsi="Calibri" w:cs="Calibri"/>
        </w:rPr>
      </w:pPr>
    </w:p>
    <w:p w14:paraId="5ECDFE18" w14:textId="77777777" w:rsidR="009A7BF0" w:rsidRPr="009A7BF0" w:rsidRDefault="009A7BF0" w:rsidP="009A7BF0">
      <w:pPr>
        <w:rPr>
          <w:rFonts w:ascii="Calibri" w:hAnsi="Calibri" w:cs="Calibri"/>
        </w:rPr>
      </w:pPr>
    </w:p>
    <w:p w14:paraId="1F99B723" w14:textId="77777777" w:rsidR="009A7BF0" w:rsidRPr="009A7BF0" w:rsidRDefault="009A7BF0" w:rsidP="009A7BF0">
      <w:pPr>
        <w:rPr>
          <w:rFonts w:ascii="Calibri" w:hAnsi="Calibri" w:cs="Calibri"/>
          <w:u w:val="single"/>
        </w:rPr>
      </w:pPr>
    </w:p>
    <w:p w14:paraId="67137A14" w14:textId="77777777" w:rsidR="009A7BF0" w:rsidRPr="009A7BF0" w:rsidRDefault="009A7BF0" w:rsidP="009A7BF0">
      <w:pPr>
        <w:tabs>
          <w:tab w:val="left" w:pos="3668"/>
        </w:tabs>
        <w:rPr>
          <w:rFonts w:ascii="Calibri" w:hAnsi="Calibri" w:cs="Calibri"/>
        </w:rPr>
      </w:pPr>
    </w:p>
    <w:p w14:paraId="713F2C3A" w14:textId="77777777" w:rsidR="009A7BF0" w:rsidRPr="009A7BF0" w:rsidRDefault="009A7BF0" w:rsidP="00BE200C">
      <w:pPr>
        <w:tabs>
          <w:tab w:val="left" w:pos="3668"/>
        </w:tabs>
        <w:jc w:val="center"/>
        <w:rPr>
          <w:rFonts w:ascii="Calibri" w:hAnsi="Calibri" w:cs="Calibri"/>
          <w:color w:val="A32D46"/>
        </w:rPr>
      </w:pPr>
      <w:r w:rsidRPr="009A7BF0">
        <w:rPr>
          <w:rFonts w:ascii="Calibri" w:hAnsi="Calibri" w:cs="Calibri"/>
          <w:color w:val="A32D46"/>
        </w:rPr>
        <w:t>GOVERNMENT ENGAGEMENT</w:t>
      </w:r>
    </w:p>
    <w:p w14:paraId="1F909A8B" w14:textId="77777777" w:rsidR="009A7BF0" w:rsidRPr="00BE200C" w:rsidRDefault="009A7BF0" w:rsidP="009A7BF0">
      <w:pPr>
        <w:pStyle w:val="NormalWeb"/>
        <w:jc w:val="both"/>
        <w:rPr>
          <w:rFonts w:ascii="Calibri" w:hAnsi="Calibri" w:cs="Calibri"/>
          <w:color w:val="000000" w:themeColor="text1"/>
        </w:rPr>
      </w:pPr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Led by ILO, UN Women and the OECD, EPIC is a multi-stakeholder initiative comprising government entities including ministries responsible for </w:t>
      </w:r>
      <w:proofErr w:type="spellStart"/>
      <w:r w:rsidRPr="00BE200C">
        <w:rPr>
          <w:rFonts w:ascii="Calibri" w:hAnsi="Calibri" w:cs="Calibri"/>
          <w:color w:val="000000" w:themeColor="text1"/>
          <w:sz w:val="20"/>
          <w:szCs w:val="20"/>
        </w:rPr>
        <w:t>labour</w:t>
      </w:r>
      <w:proofErr w:type="spellEnd"/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 and employment, ministries responsible for gender equality and national statistical offices, international and national employers’ and workers’ organizations, relevant UN entities, the private sector, international civil society organizations and academia. </w:t>
      </w:r>
    </w:p>
    <w:p w14:paraId="09858883" w14:textId="77777777" w:rsidR="009A7BF0" w:rsidRPr="00BE200C" w:rsidRDefault="009A7BF0" w:rsidP="009A7BF0">
      <w:pPr>
        <w:pStyle w:val="NormalWeb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For EPIC to operate credibly, effectively and strategically, it is key that the committed parties show a genuine and proven commitment to achieving equal pay for work of equal value. </w:t>
      </w:r>
    </w:p>
    <w:p w14:paraId="62D2BE0A" w14:textId="77777777" w:rsidR="009A7BF0" w:rsidRPr="00BE200C" w:rsidRDefault="009A7BF0" w:rsidP="009A7BF0">
      <w:pPr>
        <w:pStyle w:val="NormalWeb"/>
        <w:rPr>
          <w:rFonts w:ascii="Calibri" w:hAnsi="Calibri" w:cs="Calibri"/>
          <w:color w:val="000000" w:themeColor="text1"/>
          <w:sz w:val="20"/>
          <w:szCs w:val="20"/>
        </w:rPr>
      </w:pPr>
      <w:r w:rsidRPr="00DB0E3D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At least SIX </w:t>
      </w:r>
      <w:r w:rsidRPr="00DB0E3D">
        <w:rPr>
          <w:rFonts w:ascii="Calibri" w:hAnsi="Calibri" w:cs="Calibri"/>
          <w:color w:val="000000" w:themeColor="text1"/>
          <w:sz w:val="20"/>
          <w:szCs w:val="20"/>
          <w:highlight w:val="yellow"/>
        </w:rPr>
        <w:t xml:space="preserve">out of the below criteria are to be met at the moment of signature of within the </w:t>
      </w:r>
      <w:r w:rsidRPr="00DB0E3D">
        <w:rPr>
          <w:rFonts w:ascii="Calibri" w:hAnsi="Calibri" w:cs="Calibri"/>
          <w:b/>
          <w:bCs/>
          <w:color w:val="000000" w:themeColor="text1"/>
          <w:sz w:val="20"/>
          <w:szCs w:val="20"/>
          <w:highlight w:val="yellow"/>
        </w:rPr>
        <w:t xml:space="preserve">THREE YEARS </w:t>
      </w:r>
      <w:r w:rsidRPr="00DB0E3D">
        <w:rPr>
          <w:rFonts w:ascii="Calibri" w:hAnsi="Calibri" w:cs="Calibri"/>
          <w:color w:val="000000" w:themeColor="text1"/>
          <w:sz w:val="20"/>
          <w:szCs w:val="20"/>
          <w:highlight w:val="yellow"/>
        </w:rPr>
        <w:t>period of time.</w:t>
      </w:r>
      <w:r w:rsidRPr="00BE200C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95"/>
        <w:gridCol w:w="4855"/>
      </w:tblGrid>
      <w:tr w:rsidR="00BE200C" w:rsidRPr="00BE200C" w14:paraId="33E34792" w14:textId="77777777" w:rsidTr="00BE200C">
        <w:tc>
          <w:tcPr>
            <w:tcW w:w="4495" w:type="dxa"/>
            <w:shd w:val="clear" w:color="auto" w:fill="auto"/>
          </w:tcPr>
          <w:p w14:paraId="49D1652B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Criteria</w:t>
            </w:r>
          </w:p>
        </w:tc>
        <w:tc>
          <w:tcPr>
            <w:tcW w:w="4855" w:type="dxa"/>
            <w:shd w:val="clear" w:color="auto" w:fill="auto"/>
          </w:tcPr>
          <w:p w14:paraId="0122ECCE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Status (source of verification, if needed) </w:t>
            </w:r>
          </w:p>
        </w:tc>
      </w:tr>
      <w:tr w:rsidR="00BE200C" w:rsidRPr="00BE200C" w14:paraId="13A14D11" w14:textId="77777777" w:rsidTr="00BE200C">
        <w:tc>
          <w:tcPr>
            <w:tcW w:w="4495" w:type="dxa"/>
            <w:shd w:val="clear" w:color="auto" w:fill="C5E0B3" w:themeFill="accent6" w:themeFillTint="66"/>
          </w:tcPr>
          <w:p w14:paraId="313D7060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Ratification of ILO Equal Remuneration Convention, 1951 (No.100) or verifiable steps being taken to ratify it; 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1D0CEB08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Convention is ratified. No further source or verification is needed. </w:t>
            </w:r>
          </w:p>
        </w:tc>
      </w:tr>
      <w:tr w:rsidR="00BE200C" w:rsidRPr="00BE200C" w14:paraId="002AF2A5" w14:textId="77777777" w:rsidTr="00BE200C">
        <w:tc>
          <w:tcPr>
            <w:tcW w:w="4495" w:type="dxa"/>
          </w:tcPr>
          <w:p w14:paraId="2E163505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0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Legislation in line with ILO Convention No. 100;</w:t>
            </w:r>
            <w:commentRangeEnd w:id="0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0"/>
            </w:r>
          </w:p>
          <w:p w14:paraId="24FCC69D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4855" w:type="dxa"/>
          </w:tcPr>
          <w:p w14:paraId="105C434D" w14:textId="77777777" w:rsidR="009A7BF0" w:rsidRDefault="009A7BF0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The current legislation is not in line 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with ILO Convention No. 100. Convention forces the introduction of equal pay for equal work. While there is no clearly shaped definition for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equal pay and 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no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assessment methodology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it would be hard to commit to this particular criteria. </w:t>
            </w:r>
          </w:p>
          <w:p w14:paraId="3E8E9D07" w14:textId="77777777" w:rsidR="00BE200C" w:rsidRPr="00BE200C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E200C" w:rsidRPr="00BE200C" w14:paraId="4E695CA8" w14:textId="77777777" w:rsidTr="00BE200C">
        <w:tc>
          <w:tcPr>
            <w:tcW w:w="4495" w:type="dxa"/>
            <w:shd w:val="clear" w:color="auto" w:fill="C5E0B3" w:themeFill="accent6" w:themeFillTint="66"/>
          </w:tcPr>
          <w:p w14:paraId="0AAB5EB0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Ratification of the UN Convention on the Elimination of all forms of Discrimination against Women, 1976 (Article 11d)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6B5C48FF" w14:textId="77777777" w:rsidR="009A7BF0" w:rsidRPr="00BE200C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 Convention is ratified. No further source or verification is needed.</w:t>
            </w:r>
          </w:p>
        </w:tc>
      </w:tr>
      <w:tr w:rsidR="00BE200C" w:rsidRPr="00BE200C" w14:paraId="72ACD9F7" w14:textId="77777777" w:rsidTr="00BE200C">
        <w:tc>
          <w:tcPr>
            <w:tcW w:w="4495" w:type="dxa"/>
            <w:shd w:val="clear" w:color="auto" w:fill="FFF2CC" w:themeFill="accent4" w:themeFillTint="33"/>
          </w:tcPr>
          <w:p w14:paraId="3B1477AB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1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Adherence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Recommendation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2013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OECD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Council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on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Gender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Equality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Education,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Employment</w:t>
            </w:r>
            <w:r w:rsid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and Entrepreneurship and the 2015 Recommendation of the OECD Council on Gender Equality in Public Life</w:t>
            </w:r>
            <w:commentRangeEnd w:id="1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1"/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1B3F9E69" w14:textId="77777777" w:rsidR="009A7BF0" w:rsidRPr="00BE200C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Texts of both recommendations (2013 and 2015) are acceptable and possible to adherence within the next three years. </w:t>
            </w: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Therefore, committing to this criteria is being considered.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BE200C" w:rsidRPr="00BE200C" w14:paraId="502657D3" w14:textId="77777777" w:rsidTr="00BE200C">
        <w:tc>
          <w:tcPr>
            <w:tcW w:w="4495" w:type="dxa"/>
            <w:shd w:val="clear" w:color="auto" w:fill="C5E0B3" w:themeFill="accent6" w:themeFillTint="66"/>
          </w:tcPr>
          <w:p w14:paraId="6C32BEEE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Sex-disaggregated data on wages are collected</w:t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71D3A75F" w14:textId="77777777" w:rsidR="009A7BF0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Sex-disaggregated data on wages are collected by the National Statistics Office – </w:t>
            </w:r>
            <w:proofErr w:type="spellStart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GeoStat</w:t>
            </w:r>
            <w:proofErr w:type="spellEnd"/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5FC8CB8A" w14:textId="77777777" w:rsidR="00BE200C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53559DB" w14:textId="77777777" w:rsidR="009A7BF0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Source of verification: L</w:t>
            </w:r>
            <w:r w:rsidR="009A7BF0"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abor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</w:t>
            </w:r>
            <w:r w:rsidR="009A7BF0"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</w:t>
            </w:r>
            <w:r w:rsidR="009A7BF0"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</w:t>
            </w:r>
            <w:r w:rsidR="009A7BF0"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urvey 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(LFS)</w:t>
            </w:r>
          </w:p>
          <w:p w14:paraId="5AC4EF8A" w14:textId="77777777" w:rsidR="001D365B" w:rsidRPr="00BE200C" w:rsidRDefault="001D365B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E200C" w:rsidRPr="00BE200C" w14:paraId="1B7B6D7D" w14:textId="77777777" w:rsidTr="00DF5D55">
        <w:tc>
          <w:tcPr>
            <w:tcW w:w="4495" w:type="dxa"/>
            <w:shd w:val="clear" w:color="auto" w:fill="FFF2CC" w:themeFill="accent4" w:themeFillTint="33"/>
          </w:tcPr>
          <w:p w14:paraId="6A04198F" w14:textId="77777777" w:rsidR="009A7BF0" w:rsidRPr="00DF5D55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2"/>
            <w:r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lastRenderedPageBreak/>
              <w:t>Policies or practices that encourage pay transparency are in place</w:t>
            </w:r>
            <w:commentRangeEnd w:id="2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2"/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3A556FF8" w14:textId="77777777" w:rsidR="009A7BF0" w:rsidRPr="00DF5D55" w:rsidRDefault="00BE200C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While there is no such policy in place at a present moment, such policies may be </w:t>
            </w:r>
            <w:r w:rsidRPr="00DF5D5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encouraged </w:t>
            </w:r>
            <w:r w:rsidR="00DF5D55"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(not mandated) </w:t>
            </w:r>
            <w:r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within the </w:t>
            </w:r>
            <w:r w:rsidR="00DF5D55" w:rsidRP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three years. </w:t>
            </w:r>
            <w:r w:rsidR="00DF5D55"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Therefore, committing to this criteria is being considered.</w:t>
            </w:r>
          </w:p>
          <w:p w14:paraId="7AB561F2" w14:textId="77777777" w:rsidR="009A7BF0" w:rsidRPr="00DF5D55" w:rsidRDefault="009A7BF0" w:rsidP="00DF5D55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E200C" w:rsidRPr="00BE200C" w14:paraId="3E5C85F4" w14:textId="77777777" w:rsidTr="00BE200C">
        <w:tc>
          <w:tcPr>
            <w:tcW w:w="4495" w:type="dxa"/>
          </w:tcPr>
          <w:p w14:paraId="69240F87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3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 countries where minimum wages are set by sector or occupation, minimum wages cover also sectors and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occupations where women workers predominate</w:t>
            </w:r>
            <w:commentRangeEnd w:id="3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3"/>
            </w:r>
          </w:p>
        </w:tc>
        <w:tc>
          <w:tcPr>
            <w:tcW w:w="4855" w:type="dxa"/>
          </w:tcPr>
          <w:p w14:paraId="277493F3" w14:textId="77777777" w:rsidR="009A7BF0" w:rsidRPr="00BE200C" w:rsidRDefault="00DF5D55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</w:t>
            </w:r>
            <w:r w:rsidR="009A7BF0"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 minimum wage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 are set in Georgia. It would be hard to commit to this particular criteria.</w:t>
            </w:r>
          </w:p>
        </w:tc>
      </w:tr>
      <w:tr w:rsidR="00BE200C" w:rsidRPr="00BE200C" w14:paraId="3DF6AD0A" w14:textId="77777777" w:rsidTr="00DF5D55">
        <w:tc>
          <w:tcPr>
            <w:tcW w:w="4495" w:type="dxa"/>
            <w:shd w:val="clear" w:color="auto" w:fill="FFF2CC" w:themeFill="accent4" w:themeFillTint="33"/>
          </w:tcPr>
          <w:p w14:paraId="7E8BAFB6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4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National bodies (</w:t>
            </w:r>
            <w:proofErr w:type="spellStart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eg.</w:t>
            </w:r>
            <w:proofErr w:type="spellEnd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equal employment opportunities bodies or tripartite bodies) that address equal pay are in place</w:t>
            </w:r>
            <w:commentRangeEnd w:id="4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4"/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4FE0E3A9" w14:textId="77777777" w:rsidR="009A7BF0" w:rsidRPr="00DF655F" w:rsidRDefault="009A7BF0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Tripartite Social Partnership Commission might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serve as such national body, through which encouragement of equal pay might be considered. Cooperation might be strengthened within the three years. </w:t>
            </w:r>
            <w:r w:rsidR="00DF5D55"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Therefore, committing to this criteria is being considered – yet under discussion. </w:t>
            </w:r>
          </w:p>
          <w:p w14:paraId="018A9EB1" w14:textId="77777777" w:rsidR="009A7BF0" w:rsidRPr="00BE200C" w:rsidRDefault="009A7BF0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BE200C" w:rsidRPr="00BE200C" w14:paraId="75D2A444" w14:textId="77777777" w:rsidTr="00DF5D55">
        <w:tc>
          <w:tcPr>
            <w:tcW w:w="4495" w:type="dxa"/>
            <w:shd w:val="clear" w:color="auto" w:fill="FFF2CC" w:themeFill="accent4" w:themeFillTint="33"/>
          </w:tcPr>
          <w:p w14:paraId="3B593013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5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Laws,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policies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measures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to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facilitate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work-family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reconciliation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or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increase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the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representation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women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in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companies’ boards are in place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commentRangeEnd w:id="5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5"/>
            </w:r>
          </w:p>
        </w:tc>
        <w:tc>
          <w:tcPr>
            <w:tcW w:w="4855" w:type="dxa"/>
            <w:shd w:val="clear" w:color="auto" w:fill="FFF2CC" w:themeFill="accent4" w:themeFillTint="33"/>
          </w:tcPr>
          <w:p w14:paraId="67962D3B" w14:textId="77777777" w:rsidR="009A7BF0" w:rsidRDefault="009A7BF0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National Bank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of Georgia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has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already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introduced some measures on gender quotas in boards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07521298" w14:textId="77777777" w:rsidR="00DF5D55" w:rsidRDefault="00DF5D55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72A002BE" w14:textId="77777777" w:rsidR="00DF5D55" w:rsidRPr="00BE200C" w:rsidRDefault="00DF5D55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Inter-agency Gender Equality Commission plans to issue further guidelines on the matter. </w:t>
            </w:r>
          </w:p>
          <w:p w14:paraId="7F9635B2" w14:textId="77777777" w:rsidR="00DF5D55" w:rsidRDefault="00DF5D55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096E57A" w14:textId="77777777" w:rsidR="009A7BF0" w:rsidRDefault="009A7BF0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UNW 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continues work with the</w:t>
            </w:r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private sector</w:t>
            </w:r>
            <w:r w:rsidR="00DF5D5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77EE3DE0" w14:textId="77777777" w:rsidR="00DF5D55" w:rsidRDefault="00DF5D55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09C8C24C" w14:textId="77777777" w:rsidR="00DF5D55" w:rsidRPr="00DF655F" w:rsidRDefault="00DF5D55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DF655F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Therefore, committing to this criteria is being considered.</w:t>
            </w:r>
          </w:p>
        </w:tc>
      </w:tr>
      <w:tr w:rsidR="00BE200C" w:rsidRPr="00BE200C" w14:paraId="0E1B34AF" w14:textId="77777777" w:rsidTr="00DF5D55">
        <w:tc>
          <w:tcPr>
            <w:tcW w:w="4495" w:type="dxa"/>
            <w:shd w:val="clear" w:color="auto" w:fill="C5E0B3" w:themeFill="accent6" w:themeFillTint="66"/>
          </w:tcPr>
          <w:p w14:paraId="2CF4A98F" w14:textId="77777777" w:rsidR="009A7BF0" w:rsidRPr="00BE200C" w:rsidRDefault="009A7BF0" w:rsidP="009A7BF0">
            <w:pPr>
              <w:pStyle w:val="NormalWeb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commentRangeStart w:id="6"/>
            <w:r w:rsidRPr="00BE200C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Offer in-kind or financial support as contributions to key EPIC outputs</w:t>
            </w:r>
            <w:commentRangeEnd w:id="6"/>
            <w:r w:rsidR="0006042F">
              <w:rPr>
                <w:rStyle w:val="CommentReference"/>
                <w:rFonts w:asciiTheme="minorHAnsi" w:eastAsiaTheme="minorHAnsi" w:hAnsiTheme="minorHAnsi" w:cstheme="minorBidi"/>
              </w:rPr>
              <w:commentReference w:id="6"/>
            </w:r>
          </w:p>
        </w:tc>
        <w:tc>
          <w:tcPr>
            <w:tcW w:w="4855" w:type="dxa"/>
            <w:shd w:val="clear" w:color="auto" w:fill="C5E0B3" w:themeFill="accent6" w:themeFillTint="66"/>
          </w:tcPr>
          <w:p w14:paraId="4119994F" w14:textId="77777777" w:rsidR="009A7BF0" w:rsidRPr="00BE200C" w:rsidRDefault="009A7BF0" w:rsidP="009A7BF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44C0CDE7" w14:textId="77777777" w:rsidR="009A7BF0" w:rsidRDefault="009A7BF0" w:rsidP="00970F4F">
      <w:pPr>
        <w:pStyle w:val="NormalWeb"/>
        <w:jc w:val="center"/>
        <w:rPr>
          <w:rFonts w:ascii="Calibri" w:hAnsi="Calibri" w:cs="Calibri"/>
          <w:color w:val="000000" w:themeColor="text1"/>
        </w:rPr>
      </w:pPr>
    </w:p>
    <w:p w14:paraId="33A7F6D4" w14:textId="77777777" w:rsidR="00DB0E3D" w:rsidRDefault="00DB0E3D" w:rsidP="00DB0E3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SIGNATORS to the Document: </w:t>
      </w:r>
    </w:p>
    <w:p w14:paraId="4DB4E9AC" w14:textId="77777777" w:rsidR="00DB0E3D" w:rsidRDefault="00DB0E3D" w:rsidP="00DB0E3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30755057" w14:textId="77777777" w:rsidR="00DB0E3D" w:rsidRDefault="00DB0E3D" w:rsidP="00DB0E3D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Minister of Internally Displaced Persons from the Occupied Territories, Labour, Health and Social Affairs of Georgia</w:t>
      </w:r>
    </w:p>
    <w:p w14:paraId="1F97DFD1" w14:textId="77777777" w:rsidR="00DB0E3D" w:rsidRDefault="00DB0E3D" w:rsidP="00DB0E3D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Alternative: Deputy Minister of Internally Displaced Persons from the Occupied Territories, Labour, Health and Social Affairs of Georgia</w:t>
      </w:r>
    </w:p>
    <w:p w14:paraId="20720FF9" w14:textId="77777777" w:rsidR="00DB0E3D" w:rsidRDefault="00DB0E3D" w:rsidP="00DB0E3D">
      <w:pPr>
        <w:pStyle w:val="NormalWeb"/>
        <w:spacing w:before="0" w:beforeAutospacing="0" w:after="0" w:afterAutospacing="0"/>
        <w:rPr>
          <w:rFonts w:ascii="Calibri" w:hAnsi="Calibri" w:cs="Calibri"/>
          <w:color w:val="000000" w:themeColor="text1"/>
        </w:rPr>
      </w:pPr>
    </w:p>
    <w:p w14:paraId="04A3940F" w14:textId="77777777" w:rsidR="00DB0E3D" w:rsidRDefault="00DB0E3D" w:rsidP="00DB0E3D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Chair of the Inter-Agency Commission on Gender Equality, Violence Against Women and Domestic Violence [Human Rights Council. Administration of the Government] </w:t>
      </w:r>
    </w:p>
    <w:p w14:paraId="1273C5EA" w14:textId="77777777" w:rsidR="00DB0E3D" w:rsidRDefault="00DB0E3D" w:rsidP="00DB0E3D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</w:p>
    <w:p w14:paraId="7E7C59E7" w14:textId="77777777" w:rsidR="00DB0E3D" w:rsidRPr="00DB0E3D" w:rsidRDefault="00DB0E3D" w:rsidP="00DB0E3D">
      <w:pPr>
        <w:pStyle w:val="NormalWeb"/>
        <w:numPr>
          <w:ilvl w:val="0"/>
          <w:numId w:val="1"/>
        </w:numPr>
        <w:spacing w:before="0" w:beforeAutospacing="0" w:after="0" w:afterAutospacing="0"/>
        <w:ind w:left="3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Chair women of the EPIC </w:t>
      </w:r>
    </w:p>
    <w:p w14:paraId="0391E018" w14:textId="77777777" w:rsidR="009A7BF0" w:rsidRPr="00BE200C" w:rsidRDefault="009A7BF0" w:rsidP="009A7BF0">
      <w:pPr>
        <w:tabs>
          <w:tab w:val="left" w:pos="3668"/>
        </w:tabs>
        <w:rPr>
          <w:rFonts w:ascii="Calibri" w:hAnsi="Calibri" w:cs="Calibri"/>
          <w:color w:val="000000" w:themeColor="text1"/>
        </w:rPr>
      </w:pPr>
    </w:p>
    <w:sectPr w:rsidR="009A7BF0" w:rsidRPr="00BE200C" w:rsidSect="00FD73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Ekaterine Mikabadze" w:date="2020-07-22T16:12:00Z" w:initials="EM">
    <w:p w14:paraId="5AE07791" w14:textId="77777777" w:rsidR="0006042F" w:rsidRDefault="0006042F" w:rsidP="0006042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აღნიშნულ კრიტერიუმს ვერ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ka-GE"/>
        </w:rPr>
        <w:t>ვაკმაყოფილებთ.</w:t>
      </w:r>
    </w:p>
    <w:p w14:paraId="7057EAC9" w14:textId="77777777" w:rsidR="0006042F" w:rsidRDefault="0006042F" w:rsidP="0006042F">
      <w:pPr>
        <w:pStyle w:val="CommentText"/>
        <w:rPr>
          <w:rFonts w:ascii="Sylfaen" w:hAnsi="Sylfaen"/>
          <w:lang w:val="ka-GE"/>
        </w:rPr>
      </w:pPr>
    </w:p>
    <w:p w14:paraId="77D71D8C" w14:textId="77777777" w:rsidR="0006042F" w:rsidRPr="00B0489F" w:rsidRDefault="0006042F" w:rsidP="0006042F">
      <w:pPr>
        <w:pStyle w:val="CommentText"/>
        <w:rPr>
          <w:lang w:val="ka-GE"/>
        </w:rPr>
      </w:pPr>
      <w:r w:rsidRPr="00B0489F">
        <w:rPr>
          <w:lang w:val="ka-GE"/>
        </w:rPr>
        <w:t xml:space="preserve">N100 </w:t>
      </w:r>
      <w:r w:rsidRPr="00B0489F">
        <w:rPr>
          <w:rFonts w:ascii="Sylfaen" w:hAnsi="Sylfaen" w:cs="Sylfaen"/>
          <w:lang w:val="ka-GE"/>
        </w:rPr>
        <w:t>კონვენცია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განსაზღვრავს</w:t>
      </w:r>
      <w:r w:rsidRPr="00B0489F">
        <w:rPr>
          <w:lang w:val="ka-GE"/>
        </w:rPr>
        <w:t xml:space="preserve"> </w:t>
      </w:r>
      <w:r w:rsidRPr="00383D7D">
        <w:rPr>
          <w:b/>
          <w:lang w:val="ka-GE"/>
        </w:rPr>
        <w:t>,,</w:t>
      </w:r>
      <w:r w:rsidRPr="00383D7D">
        <w:rPr>
          <w:rFonts w:ascii="Sylfaen" w:hAnsi="Sylfaen" w:cs="Sylfaen"/>
          <w:b/>
          <w:lang w:val="ka-GE"/>
        </w:rPr>
        <w:t>თანაბარი</w:t>
      </w:r>
      <w:r w:rsidRPr="00383D7D">
        <w:rPr>
          <w:b/>
          <w:lang w:val="ka-GE"/>
        </w:rPr>
        <w:t xml:space="preserve"> </w:t>
      </w:r>
      <w:r w:rsidRPr="00383D7D">
        <w:rPr>
          <w:rFonts w:ascii="Sylfaen" w:hAnsi="Sylfaen" w:cs="Sylfaen"/>
          <w:b/>
          <w:highlight w:val="yellow"/>
          <w:lang w:val="ka-GE"/>
        </w:rPr>
        <w:t>ღირებულების</w:t>
      </w:r>
      <w:r w:rsidRPr="00383D7D">
        <w:rPr>
          <w:b/>
          <w:lang w:val="ka-GE"/>
        </w:rPr>
        <w:t xml:space="preserve"> </w:t>
      </w:r>
      <w:r w:rsidRPr="00383D7D">
        <w:rPr>
          <w:rFonts w:ascii="Sylfaen" w:hAnsi="Sylfaen" w:cs="Sylfaen"/>
          <w:b/>
          <w:lang w:val="ka-GE"/>
        </w:rPr>
        <w:t>სამუშაოსთვის</w:t>
      </w:r>
      <w:r w:rsidRPr="00383D7D">
        <w:rPr>
          <w:b/>
          <w:lang w:val="ka-GE"/>
        </w:rPr>
        <w:t xml:space="preserve"> </w:t>
      </w:r>
      <w:r w:rsidRPr="00383D7D">
        <w:rPr>
          <w:rFonts w:ascii="Sylfaen" w:hAnsi="Sylfaen" w:cs="Sylfaen"/>
          <w:b/>
          <w:lang w:val="ka-GE"/>
        </w:rPr>
        <w:t>თანაბარი</w:t>
      </w:r>
      <w:r w:rsidRPr="00383D7D">
        <w:rPr>
          <w:b/>
          <w:lang w:val="ka-GE"/>
        </w:rPr>
        <w:t xml:space="preserve"> </w:t>
      </w:r>
      <w:r w:rsidRPr="00383D7D">
        <w:rPr>
          <w:rFonts w:ascii="Sylfaen" w:hAnsi="Sylfaen" w:cs="Sylfaen"/>
          <w:b/>
          <w:lang w:val="ka-GE"/>
        </w:rPr>
        <w:t>ანაზღაურების</w:t>
      </w:r>
      <w:r w:rsidRPr="00383D7D">
        <w:rPr>
          <w:b/>
          <w:lang w:val="ka-GE"/>
        </w:rPr>
        <w:t>"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პრინციპის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შემოღებას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ყველა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დასაქმებულისთვის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და</w:t>
      </w:r>
      <w:r>
        <w:rPr>
          <w:rFonts w:ascii="Sylfaen" w:hAnsi="Sylfaen" w:cs="Sylfaen"/>
          <w:lang w:val="ka-GE"/>
        </w:rPr>
        <w:t xml:space="preserve"> ასევე,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შესაბამისი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მეთოდის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შემუშავებას</w:t>
      </w:r>
      <w:r w:rsidRPr="00B0489F">
        <w:rPr>
          <w:lang w:val="ka-GE"/>
        </w:rPr>
        <w:t>.</w:t>
      </w:r>
    </w:p>
    <w:p w14:paraId="12957FDE" w14:textId="77777777" w:rsidR="0006042F" w:rsidRPr="00B0489F" w:rsidRDefault="0006042F" w:rsidP="0006042F">
      <w:pPr>
        <w:pStyle w:val="CommentText"/>
        <w:rPr>
          <w:lang w:val="ka-GE"/>
        </w:rPr>
      </w:pPr>
    </w:p>
    <w:p w14:paraId="0C5732CE" w14:textId="77777777" w:rsidR="0006042F" w:rsidRPr="00B0489F" w:rsidRDefault="0006042F" w:rsidP="0006042F">
      <w:pPr>
        <w:pStyle w:val="CommentText"/>
        <w:rPr>
          <w:rFonts w:ascii="Sylfaen" w:hAnsi="Sylfaen"/>
          <w:lang w:val="ka-GE"/>
        </w:rPr>
      </w:pPr>
      <w:r w:rsidRPr="00B0489F">
        <w:rPr>
          <w:rFonts w:ascii="Sylfaen" w:hAnsi="Sylfaen" w:cs="Sylfaen"/>
          <w:lang w:val="ka-GE"/>
        </w:rPr>
        <w:t>შრომის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კოდექსის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მიმდინარე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პროექტში</w:t>
      </w:r>
      <w:r>
        <w:rPr>
          <w:rFonts w:ascii="Sylfaen" w:hAnsi="Sylfaen" w:cs="Sylfaen"/>
          <w:lang w:val="en-GB"/>
        </w:rPr>
        <w:t xml:space="preserve"> </w:t>
      </w:r>
      <w:r>
        <w:rPr>
          <w:rFonts w:ascii="Sylfaen" w:hAnsi="Sylfaen" w:cs="Sylfaen"/>
          <w:lang w:val="ka-GE"/>
        </w:rPr>
        <w:t>კი</w:t>
      </w:r>
      <w:r w:rsidRPr="00B0489F">
        <w:rPr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განისაზღვრა</w:t>
      </w:r>
      <w:r w:rsidRPr="00B0489F">
        <w:rPr>
          <w:b/>
          <w:lang w:val="ka-GE"/>
        </w:rPr>
        <w:t xml:space="preserve"> ,,</w:t>
      </w:r>
      <w:r w:rsidRPr="00B0489F">
        <w:rPr>
          <w:rFonts w:ascii="Sylfaen" w:hAnsi="Sylfaen" w:cs="Sylfaen"/>
          <w:b/>
          <w:lang w:val="ka-GE"/>
        </w:rPr>
        <w:t>თანაბარი</w:t>
      </w:r>
      <w:r w:rsidRPr="00B0489F">
        <w:rPr>
          <w:b/>
          <w:lang w:val="ka-GE"/>
        </w:rPr>
        <w:t xml:space="preserve"> </w:t>
      </w:r>
      <w:r w:rsidRPr="00B0489F">
        <w:rPr>
          <w:rFonts w:ascii="Sylfaen" w:hAnsi="Sylfaen" w:cs="Sylfaen"/>
          <w:b/>
          <w:lang w:val="ka-GE"/>
        </w:rPr>
        <w:t>სამუშაოსთვის</w:t>
      </w:r>
      <w:r w:rsidRPr="00B0489F">
        <w:rPr>
          <w:b/>
          <w:lang w:val="ka-GE"/>
        </w:rPr>
        <w:t xml:space="preserve"> </w:t>
      </w:r>
      <w:r w:rsidRPr="00B0489F">
        <w:rPr>
          <w:rFonts w:ascii="Sylfaen" w:hAnsi="Sylfaen" w:cs="Sylfaen"/>
          <w:b/>
          <w:lang w:val="ka-GE"/>
        </w:rPr>
        <w:t>თანაბარი</w:t>
      </w:r>
      <w:r w:rsidRPr="00B0489F">
        <w:rPr>
          <w:b/>
          <w:lang w:val="ka-GE"/>
        </w:rPr>
        <w:t xml:space="preserve"> </w:t>
      </w:r>
      <w:r w:rsidRPr="00B0489F">
        <w:rPr>
          <w:rFonts w:ascii="Sylfaen" w:hAnsi="Sylfaen" w:cs="Sylfaen"/>
          <w:b/>
          <w:lang w:val="ka-GE"/>
        </w:rPr>
        <w:t>ანაზღაურება</w:t>
      </w:r>
      <w:r w:rsidRPr="00B0489F">
        <w:rPr>
          <w:b/>
          <w:lang w:val="ka-GE"/>
        </w:rPr>
        <w:t>",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რადგან</w:t>
      </w:r>
      <w:r w:rsidRPr="00B0489F">
        <w:rPr>
          <w:lang w:val="ka-GE"/>
        </w:rPr>
        <w:t xml:space="preserve"> ,,</w:t>
      </w:r>
      <w:r w:rsidRPr="00B0489F">
        <w:rPr>
          <w:rFonts w:ascii="Sylfaen" w:hAnsi="Sylfaen" w:cs="Sylfaen"/>
          <w:lang w:val="ka-GE"/>
        </w:rPr>
        <w:t>ღირებულების</w:t>
      </w:r>
      <w:r w:rsidRPr="00B0489F">
        <w:rPr>
          <w:lang w:val="ka-GE"/>
        </w:rPr>
        <w:t xml:space="preserve">" </w:t>
      </w:r>
      <w:r w:rsidRPr="00B0489F">
        <w:rPr>
          <w:rFonts w:ascii="Sylfaen" w:hAnsi="Sylfaen" w:cs="Sylfaen"/>
          <w:lang w:val="ka-GE"/>
        </w:rPr>
        <w:t>დატოვება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დაკავშირებულია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სხვადასხვა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სამუშაოს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მონეტიზაციის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საკითხთან</w:t>
      </w:r>
      <w:r w:rsidRPr="00B0489F">
        <w:rPr>
          <w:lang w:val="ka-GE"/>
        </w:rPr>
        <w:t xml:space="preserve">, </w:t>
      </w:r>
      <w:r w:rsidRPr="00B0489F">
        <w:rPr>
          <w:rFonts w:ascii="Sylfaen" w:hAnsi="Sylfaen" w:cs="Sylfaen"/>
          <w:lang w:val="ka-GE"/>
        </w:rPr>
        <w:t>რისი</w:t>
      </w:r>
      <w:r w:rsidRPr="00B0489F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მექანიზმი და მეთოდოლოგია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დღეს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არ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არსებობს</w:t>
      </w:r>
      <w:r w:rsidRPr="00B0489F">
        <w:rPr>
          <w:lang w:val="ka-GE"/>
        </w:rPr>
        <w:t>.</w:t>
      </w:r>
    </w:p>
    <w:p w14:paraId="0844C36F" w14:textId="77777777" w:rsidR="0006042F" w:rsidRDefault="0006042F" w:rsidP="0006042F">
      <w:pPr>
        <w:pStyle w:val="CommentText"/>
        <w:rPr>
          <w:rFonts w:ascii="Sylfaen" w:hAnsi="Sylfaen" w:cs="Sylfaen"/>
          <w:b/>
          <w:lang w:val="ka-GE"/>
        </w:rPr>
      </w:pPr>
    </w:p>
    <w:p w14:paraId="510A2E73" w14:textId="56271DAE" w:rsidR="0006042F" w:rsidRPr="00A87337" w:rsidRDefault="0006042F" w:rsidP="0006042F">
      <w:pPr>
        <w:pStyle w:val="CommentText"/>
        <w:rPr>
          <w:b/>
        </w:rPr>
      </w:pPr>
      <w:r w:rsidRPr="004907CA">
        <w:rPr>
          <w:rFonts w:ascii="Sylfaen" w:hAnsi="Sylfaen" w:cs="Sylfaen"/>
          <w:lang w:val="ka-GE"/>
        </w:rPr>
        <w:t>ასევე</w:t>
      </w:r>
      <w:r w:rsidRPr="004907CA">
        <w:rPr>
          <w:lang w:val="ka-GE"/>
        </w:rPr>
        <w:t xml:space="preserve">, </w:t>
      </w:r>
      <w:r w:rsidRPr="004907CA">
        <w:rPr>
          <w:rFonts w:ascii="Sylfaen" w:hAnsi="Sylfaen"/>
          <w:lang w:val="ka-GE"/>
        </w:rPr>
        <w:t xml:space="preserve">იმის გათვალისწინებით, რომ ორგანიზაციის - </w:t>
      </w:r>
      <w:r w:rsidRPr="00383D7D">
        <w:rPr>
          <w:rFonts w:ascii="Sylfaen" w:hAnsi="Sylfaen"/>
          <w:b/>
          <w:lang w:val="ka-GE"/>
        </w:rPr>
        <w:t xml:space="preserve">Equal Pay International Coalition </w:t>
      </w:r>
      <w:r w:rsidRPr="004907CA">
        <w:rPr>
          <w:rFonts w:ascii="Sylfaen" w:hAnsi="Sylfaen" w:cs="Sylfaen"/>
          <w:lang w:val="ka-GE"/>
        </w:rPr>
        <w:t>(</w:t>
      </w:r>
      <w:r w:rsidRPr="004907CA">
        <w:rPr>
          <w:lang w:val="ka-GE"/>
        </w:rPr>
        <w:t>EPIC</w:t>
      </w:r>
      <w:r w:rsidRPr="004907CA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-</w:t>
      </w:r>
      <w:r>
        <w:rPr>
          <w:lang w:val="ka-GE"/>
        </w:rPr>
        <w:t xml:space="preserve"> </w:t>
      </w:r>
      <w:r w:rsidRPr="004907CA">
        <w:rPr>
          <w:rFonts w:ascii="Sylfaen" w:hAnsi="Sylfaen"/>
          <w:lang w:val="ka-GE"/>
        </w:rPr>
        <w:t>მთავარი მიმართულება</w:t>
      </w:r>
      <w:r>
        <w:rPr>
          <w:rFonts w:ascii="Sylfaen" w:hAnsi="Sylfaen"/>
          <w:lang w:val="ka-GE"/>
        </w:rPr>
        <w:t xml:space="preserve"> სწორედ თანაბარი ანაზღაურების საკითხებია, </w:t>
      </w:r>
      <w:r w:rsidRPr="00383D7D">
        <w:rPr>
          <w:rFonts w:ascii="Sylfaen" w:hAnsi="Sylfaen"/>
          <w:b/>
          <w:lang w:val="ka-GE"/>
        </w:rPr>
        <w:t>მხედველობაშია მისაღები ორგანიზაციასთან მიერთების  შემთხვევაში ამ საკითხის დღის წესრიგში დაყენების</w:t>
      </w:r>
      <w:r>
        <w:rPr>
          <w:rFonts w:ascii="Sylfaen" w:hAnsi="Sylfaen"/>
          <w:b/>
          <w:lang w:val="ka-GE"/>
        </w:rPr>
        <w:t xml:space="preserve"> რისკი (შესაძლოა მაღალი ალბათობაც).</w:t>
      </w:r>
      <w:r w:rsidR="00A87337">
        <w:rPr>
          <w:rFonts w:ascii="Sylfaen" w:hAnsi="Sylfaen"/>
          <w:b/>
        </w:rPr>
        <w:t xml:space="preserve"> </w:t>
      </w:r>
    </w:p>
    <w:p w14:paraId="0EA4C34D" w14:textId="77777777" w:rsidR="0006042F" w:rsidRPr="0006042F" w:rsidRDefault="0006042F">
      <w:pPr>
        <w:pStyle w:val="CommentText"/>
        <w:rPr>
          <w:lang w:val="ka-GE"/>
        </w:rPr>
      </w:pPr>
    </w:p>
  </w:comment>
  <w:comment w:id="1" w:author="Ekaterine Mikabadze" w:date="2020-07-22T16:13:00Z" w:initials="EM">
    <w:p w14:paraId="61E52C6C" w14:textId="77777777" w:rsidR="0006042F" w:rsidRPr="00256AF0" w:rsidRDefault="0006042F" w:rsidP="0006042F">
      <w:pPr>
        <w:pStyle w:val="CommentText"/>
        <w:rPr>
          <w:rFonts w:ascii="Sylfaen" w:hAnsi="Sylfaen"/>
          <w:lang w:val="en-GB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არ ვიცი </w:t>
      </w:r>
      <w:r>
        <w:rPr>
          <w:rFonts w:ascii="Sylfaen" w:hAnsi="Sylfaen"/>
          <w:lang w:val="en-GB"/>
        </w:rPr>
        <w:t>OECD-</w:t>
      </w:r>
      <w:r>
        <w:rPr>
          <w:rFonts w:ascii="Sylfaen" w:hAnsi="Sylfaen"/>
          <w:lang w:val="ka-GE"/>
        </w:rPr>
        <w:t>ის რეკომენდაციებთან</w:t>
      </w:r>
      <w:r>
        <w:rPr>
          <w:rFonts w:ascii="Sylfaen" w:hAnsi="Sylfaen"/>
          <w:lang w:val="en-GB"/>
        </w:rPr>
        <w:t xml:space="preserve"> </w:t>
      </w:r>
      <w:r>
        <w:rPr>
          <w:rFonts w:ascii="Sylfaen" w:hAnsi="Sylfaen"/>
          <w:lang w:val="ka-GE"/>
        </w:rPr>
        <w:t xml:space="preserve">მიერთების რა მექანიზმი არსებობს - ვალდებულებითი, სარეკომენდაციო, ნაწილობრივი მიერთება, თუ რა კონკრეტულად, მაგრამ აღნიშნული </w:t>
      </w:r>
      <w:r w:rsidRPr="00256AF0">
        <w:rPr>
          <w:rFonts w:ascii="Sylfaen" w:hAnsi="Sylfaen"/>
          <w:b/>
          <w:lang w:val="ka-GE"/>
        </w:rPr>
        <w:t>რეკომენდაციები მოიცავენ მთელ რიგ საკითხებს, რომლებიც საყურადღებოა, მოითხოვს</w:t>
      </w:r>
      <w:r>
        <w:rPr>
          <w:rFonts w:ascii="Sylfaen" w:hAnsi="Sylfaen"/>
          <w:b/>
          <w:lang w:val="ka-GE"/>
        </w:rPr>
        <w:t xml:space="preserve"> ანალიზს,</w:t>
      </w:r>
      <w:r w:rsidRPr="00256AF0">
        <w:rPr>
          <w:rFonts w:ascii="Sylfaen" w:hAnsi="Sylfaen"/>
          <w:b/>
          <w:lang w:val="ka-GE"/>
        </w:rPr>
        <w:t xml:space="preserve"> დამატებით</w:t>
      </w:r>
      <w:r>
        <w:rPr>
          <w:rFonts w:ascii="Sylfaen" w:hAnsi="Sylfaen"/>
          <w:b/>
          <w:lang w:val="ka-GE"/>
        </w:rPr>
        <w:t xml:space="preserve"> დაზუსტებას და</w:t>
      </w:r>
      <w:r w:rsidRPr="00256AF0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მსჯელობას</w:t>
      </w:r>
      <w:r>
        <w:rPr>
          <w:rFonts w:ascii="Sylfaen" w:hAnsi="Sylfaen"/>
          <w:lang w:val="ka-GE"/>
        </w:rPr>
        <w:t>.</w:t>
      </w:r>
    </w:p>
    <w:p w14:paraId="2FE62811" w14:textId="77777777" w:rsidR="0006042F" w:rsidRDefault="0006042F">
      <w:pPr>
        <w:pStyle w:val="CommentText"/>
      </w:pPr>
    </w:p>
  </w:comment>
  <w:comment w:id="2" w:author="Ekaterine Mikabadze" w:date="2020-07-22T16:14:00Z" w:initials="EM">
    <w:p w14:paraId="2B9BDF2E" w14:textId="77777777" w:rsidR="0006042F" w:rsidRPr="002C168F" w:rsidRDefault="0006042F" w:rsidP="0006042F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პოლიტიკა იგულისხმება?</w:t>
      </w:r>
    </w:p>
    <w:p w14:paraId="15CDBABC" w14:textId="77777777" w:rsidR="0006042F" w:rsidRDefault="0006042F">
      <w:pPr>
        <w:pStyle w:val="CommentText"/>
      </w:pPr>
    </w:p>
  </w:comment>
  <w:comment w:id="3" w:author="Ekaterine Mikabadze" w:date="2020-07-22T16:14:00Z" w:initials="EM">
    <w:p w14:paraId="10817BAB" w14:textId="77777777" w:rsidR="0006042F" w:rsidRDefault="0006042F">
      <w:pPr>
        <w:pStyle w:val="CommentText"/>
        <w:rPr>
          <w:rFonts w:ascii="Sylfaen" w:hAnsi="Sylfaen" w:cs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 w:cs="Sylfaen"/>
          <w:lang w:val="ka-GE"/>
        </w:rPr>
        <w:t>შრომის კოდექსის ცვლილებების პროექტიდან მინიმალური ხელფასი ამოღებულია.</w:t>
      </w:r>
    </w:p>
    <w:p w14:paraId="5271F988" w14:textId="77777777" w:rsidR="0006042F" w:rsidRDefault="0006042F">
      <w:pPr>
        <w:pStyle w:val="Comment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პრაქტიკულად გამორიცხულია ამ თემის უახლოეს წლებში წამოწევა. მარტივად, ჩვენი ეკონომიკა ამისთვის მზად არ არის. </w:t>
      </w:r>
    </w:p>
    <w:p w14:paraId="797EA8E6" w14:textId="77777777" w:rsidR="0006042F" w:rsidRDefault="0006042F">
      <w:pPr>
        <w:pStyle w:val="CommentTex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კოალიციაში გაერთიანებით ხომ არ იქმნება იმის რისკი, რომ კიდევ უფრო გაიზარდოს ამ მიმართულებით ზეწოლა.</w:t>
      </w:r>
    </w:p>
    <w:p w14:paraId="0B227F3C" w14:textId="77777777" w:rsidR="0006042F" w:rsidRDefault="0006042F">
      <w:pPr>
        <w:pStyle w:val="CommentText"/>
      </w:pPr>
      <w:r>
        <w:rPr>
          <w:rFonts w:ascii="Sylfaen" w:hAnsi="Sylfaen" w:cs="Sylfaen"/>
          <w:lang w:val="ka-GE"/>
        </w:rPr>
        <w:t>მართალია ექვსი კრიტერიუმი უნდა დაკმაყოფილდეს სამი წლის მანძილზე, მაგრამ დანარჩენების მიმართ რა პოზიცია იქნება?</w:t>
      </w:r>
    </w:p>
  </w:comment>
  <w:comment w:id="4" w:author="Ekaterine Mikabadze" w:date="2020-07-22T16:18:00Z" w:initials="EM">
    <w:p w14:paraId="4577E80E" w14:textId="77777777" w:rsidR="0006042F" w:rsidRDefault="0006042F" w:rsidP="0006042F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იხ. ზემოთ კომენტარი თანაბარ ანაზღაურებაზე (</w:t>
      </w:r>
      <w:r>
        <w:rPr>
          <w:rFonts w:ascii="Sylfaen" w:hAnsi="Sylfaen"/>
          <w:b/>
          <w:lang w:val="ka-GE"/>
        </w:rPr>
        <w:t xml:space="preserve">კონვენციის </w:t>
      </w:r>
      <w:r w:rsidRPr="00AA61EC">
        <w:rPr>
          <w:rFonts w:ascii="Sylfaen" w:hAnsi="Sylfaen"/>
          <w:b/>
          <w:lang w:val="ka-GE"/>
        </w:rPr>
        <w:t xml:space="preserve">მოთხოვნა </w:t>
      </w:r>
      <w:r>
        <w:rPr>
          <w:rFonts w:ascii="Sylfaen" w:hAnsi="Sylfaen"/>
          <w:lang w:val="ka-GE"/>
        </w:rPr>
        <w:t xml:space="preserve">- თანაბარი </w:t>
      </w:r>
      <w:r w:rsidRPr="00AA61EC">
        <w:rPr>
          <w:rFonts w:ascii="Sylfaen" w:hAnsi="Sylfaen"/>
          <w:b/>
          <w:highlight w:val="yellow"/>
          <w:lang w:val="ka-GE"/>
        </w:rPr>
        <w:t>ღირებულების</w:t>
      </w:r>
      <w:r>
        <w:rPr>
          <w:rFonts w:ascii="Sylfaen" w:hAnsi="Sylfaen"/>
          <w:lang w:val="ka-GE"/>
        </w:rPr>
        <w:t xml:space="preserve"> სამუშაო, </w:t>
      </w:r>
      <w:r w:rsidRPr="00180BDB">
        <w:rPr>
          <w:rFonts w:ascii="Sylfaen" w:hAnsi="Sylfaen"/>
          <w:b/>
          <w:lang w:val="ka-GE"/>
        </w:rPr>
        <w:t>კანონის პროექტის ჩანაწერი</w:t>
      </w:r>
      <w:r>
        <w:rPr>
          <w:rFonts w:ascii="Sylfaen" w:hAnsi="Sylfaen"/>
          <w:lang w:val="ka-GE"/>
        </w:rPr>
        <w:t xml:space="preserve"> - თანაბარი სამუშაო).</w:t>
      </w:r>
    </w:p>
    <w:p w14:paraId="240E30F6" w14:textId="77777777" w:rsidR="0006042F" w:rsidRDefault="0006042F">
      <w:pPr>
        <w:pStyle w:val="CommentText"/>
      </w:pPr>
    </w:p>
  </w:comment>
  <w:comment w:id="5" w:author="Ekaterine Mikabadze" w:date="2020-07-22T16:18:00Z" w:initials="EM">
    <w:p w14:paraId="4F7918F8" w14:textId="77777777" w:rsidR="0006042F" w:rsidRPr="00B0489F" w:rsidRDefault="0006042F" w:rsidP="0006042F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 w:rsidRPr="00B0489F">
        <w:rPr>
          <w:rFonts w:ascii="Sylfaen" w:hAnsi="Sylfaen" w:cs="Sylfaen"/>
          <w:lang w:val="ka-GE"/>
        </w:rPr>
        <w:t>კონკრეტულად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რა</w:t>
      </w:r>
      <w:r w:rsidRPr="00B0489F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შეიძლება განიხილებოდეს შემდგომში ქვეყნისთვის ვალდებულებად? </w:t>
      </w:r>
      <w:r w:rsidRPr="00B0489F">
        <w:rPr>
          <w:rFonts w:ascii="Sylfaen" w:hAnsi="Sylfaen" w:cs="Sylfaen"/>
          <w:lang w:val="ka-GE"/>
        </w:rPr>
        <w:t>რაიმე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მექანიზმის</w:t>
      </w:r>
      <w:r>
        <w:rPr>
          <w:rFonts w:ascii="Sylfaen" w:hAnsi="Sylfaen" w:cs="Sylfaen"/>
          <w:lang w:val="ka-GE"/>
        </w:rPr>
        <w:t>/რეგულაციის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შემუშავება</w:t>
      </w:r>
      <w:r w:rsidRPr="00B0489F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კომპანიების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მენეჯმენტში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ქალთა</w:t>
      </w:r>
      <w:r w:rsidRPr="00B0489F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კვოტების დადგენის მიზნით</w:t>
      </w:r>
      <w:r w:rsidRPr="00B0489F">
        <w:rPr>
          <w:lang w:val="ka-GE"/>
        </w:rPr>
        <w:t>?</w:t>
      </w:r>
    </w:p>
    <w:p w14:paraId="73BFC67F" w14:textId="77777777" w:rsidR="0006042F" w:rsidRPr="00B0489F" w:rsidRDefault="0006042F" w:rsidP="0006042F">
      <w:pPr>
        <w:pStyle w:val="CommentText"/>
        <w:rPr>
          <w:lang w:val="ka-GE"/>
        </w:rPr>
      </w:pPr>
    </w:p>
    <w:p w14:paraId="1F2EDF43" w14:textId="77777777" w:rsidR="0006042F" w:rsidRDefault="0006042F" w:rsidP="0006042F">
      <w:pPr>
        <w:pStyle w:val="CommentText"/>
        <w:rPr>
          <w:rFonts w:ascii="Sylfaen" w:hAnsi="Sylfaen"/>
          <w:lang w:val="ka-GE"/>
        </w:rPr>
      </w:pPr>
      <w:r w:rsidRPr="00B0489F">
        <w:rPr>
          <w:b/>
          <w:lang w:val="ka-GE"/>
        </w:rPr>
        <w:t>Work-Family reconciliation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როგორც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ვხვდები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გულისხმობს</w:t>
      </w:r>
      <w:r>
        <w:rPr>
          <w:rFonts w:ascii="Sylfaen" w:hAnsi="Sylfaen" w:cs="Sylfaen"/>
          <w:lang w:val="ka-GE"/>
        </w:rPr>
        <w:t xml:space="preserve"> იმ საკიხებს, რასაც</w:t>
      </w:r>
      <w:r w:rsidRPr="00B0489F">
        <w:rPr>
          <w:lang w:val="ka-GE"/>
        </w:rPr>
        <w:t xml:space="preserve"> N156 </w:t>
      </w:r>
      <w:r w:rsidRPr="00B0489F">
        <w:rPr>
          <w:rFonts w:ascii="Sylfaen" w:hAnsi="Sylfaen" w:cs="Sylfaen"/>
          <w:lang w:val="ka-GE"/>
        </w:rPr>
        <w:t>კონვენცია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განსაზღვრავს</w:t>
      </w:r>
      <w:r w:rsidRPr="00B0489F">
        <w:rPr>
          <w:lang w:val="ka-GE"/>
        </w:rPr>
        <w:t xml:space="preserve"> - </w:t>
      </w:r>
      <w:r w:rsidRPr="00B0489F">
        <w:rPr>
          <w:rFonts w:ascii="Sylfaen" w:hAnsi="Sylfaen" w:cs="Sylfaen"/>
          <w:lang w:val="ka-GE"/>
        </w:rPr>
        <w:t>ოჯახური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ვალდებულებების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მქონე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დასაქმებულების</w:t>
      </w:r>
      <w:r>
        <w:rPr>
          <w:rFonts w:ascii="Sylfaen" w:hAnsi="Sylfaen" w:cs="Sylfaen"/>
          <w:lang w:val="ka-GE"/>
        </w:rPr>
        <w:t>თვის სამუშაო ადგილზე</w:t>
      </w:r>
      <w:r w:rsidRPr="00B0489F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დამატებითი </w:t>
      </w:r>
      <w:r w:rsidRPr="00B0489F">
        <w:rPr>
          <w:rFonts w:ascii="Sylfaen" w:hAnsi="Sylfaen" w:cs="Sylfaen"/>
          <w:lang w:val="ka-GE"/>
        </w:rPr>
        <w:t>ხელშეწყობის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მექანიზმების</w:t>
      </w:r>
      <w:r w:rsidRPr="00B0489F">
        <w:rPr>
          <w:lang w:val="ka-GE"/>
        </w:rPr>
        <w:t xml:space="preserve"> </w:t>
      </w:r>
      <w:r w:rsidRPr="00B0489F">
        <w:rPr>
          <w:rFonts w:ascii="Sylfaen" w:hAnsi="Sylfaen" w:cs="Sylfaen"/>
          <w:lang w:val="ka-GE"/>
        </w:rPr>
        <w:t>შემუშავებას</w:t>
      </w:r>
      <w:r>
        <w:rPr>
          <w:lang w:val="ka-GE"/>
        </w:rPr>
        <w:t xml:space="preserve">. </w:t>
      </w:r>
    </w:p>
    <w:p w14:paraId="6437E12F" w14:textId="77777777" w:rsidR="0006042F" w:rsidRDefault="0006042F" w:rsidP="0006042F">
      <w:pPr>
        <w:pStyle w:val="CommentText"/>
        <w:rPr>
          <w:rFonts w:ascii="Sylfaen" w:hAnsi="Sylfaen"/>
          <w:lang w:val="ka-GE"/>
        </w:rPr>
      </w:pPr>
    </w:p>
    <w:p w14:paraId="4EC6ABBA" w14:textId="77777777" w:rsidR="0006042F" w:rsidRPr="0039702A" w:rsidRDefault="0006042F" w:rsidP="0006042F">
      <w:pPr>
        <w:pStyle w:val="CommentText"/>
        <w:rPr>
          <w:lang w:val="ka-GE"/>
        </w:rPr>
      </w:pPr>
      <w:r>
        <w:rPr>
          <w:rFonts w:ascii="Sylfaen" w:hAnsi="Sylfaen"/>
          <w:lang w:val="ka-GE"/>
        </w:rPr>
        <w:t>აღნიშნულ კონვენციაზე მიერთებას ეკონომიკის სამინისტრო ამ ეტაპზე მხარს არ უჭერს.</w:t>
      </w:r>
    </w:p>
    <w:p w14:paraId="36B6EEBD" w14:textId="77777777" w:rsidR="0006042F" w:rsidRDefault="0006042F">
      <w:pPr>
        <w:pStyle w:val="CommentText"/>
      </w:pPr>
    </w:p>
  </w:comment>
  <w:comment w:id="6" w:author="Ekaterine Mikabadze" w:date="2020-07-22T16:20:00Z" w:initials="EM">
    <w:p w14:paraId="22F19F48" w14:textId="77777777" w:rsidR="0006042F" w:rsidRPr="0006042F" w:rsidRDefault="0006042F">
      <w:pPr>
        <w:pStyle w:val="CommentText"/>
        <w:rPr>
          <w:lang w:val="ka-GE"/>
        </w:rPr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EA4C34D" w15:done="0"/>
  <w15:commentEx w15:paraId="2FE62811" w15:done="0"/>
  <w15:commentEx w15:paraId="15CDBABC" w15:done="0"/>
  <w15:commentEx w15:paraId="0B227F3C" w15:done="0"/>
  <w15:commentEx w15:paraId="240E30F6" w15:done="0"/>
  <w15:commentEx w15:paraId="36B6EEBD" w15:done="0"/>
  <w15:commentEx w15:paraId="22F19F4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A4C34D" w16cid:durableId="22C2E66F"/>
  <w16cid:commentId w16cid:paraId="2FE62811" w16cid:durableId="22C2E670"/>
  <w16cid:commentId w16cid:paraId="15CDBABC" w16cid:durableId="22C2E671"/>
  <w16cid:commentId w16cid:paraId="0B227F3C" w16cid:durableId="22C2E672"/>
  <w16cid:commentId w16cid:paraId="240E30F6" w16cid:durableId="22C2E673"/>
  <w16cid:commentId w16cid:paraId="36B6EEBD" w16cid:durableId="22C2E674"/>
  <w16cid:commentId w16cid:paraId="22F19F48" w16cid:durableId="22C2E67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DA051F"/>
    <w:multiLevelType w:val="hybridMultilevel"/>
    <w:tmpl w:val="8BC69AB0"/>
    <w:lvl w:ilvl="0" w:tplc="6D420956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katerine Mikabadze">
    <w15:presenceInfo w15:providerId="AD" w15:userId="S-1-5-21-1535059127-1127888120-2606325468-90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BF0"/>
    <w:rsid w:val="0003322B"/>
    <w:rsid w:val="0006042F"/>
    <w:rsid w:val="001D365B"/>
    <w:rsid w:val="00584B23"/>
    <w:rsid w:val="00622216"/>
    <w:rsid w:val="0064466C"/>
    <w:rsid w:val="00970F4F"/>
    <w:rsid w:val="009A7BF0"/>
    <w:rsid w:val="00A87337"/>
    <w:rsid w:val="00BE200C"/>
    <w:rsid w:val="00D307C2"/>
    <w:rsid w:val="00DB0E3D"/>
    <w:rsid w:val="00DF5D55"/>
    <w:rsid w:val="00DF655F"/>
    <w:rsid w:val="00FD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7EF62"/>
  <w15:chartTrackingRefBased/>
  <w15:docId w15:val="{8920DC6D-9F5B-2A4F-A21F-15333F0B2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9A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604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4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4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4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4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4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10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0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5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8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6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8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80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Akiashvili</dc:creator>
  <cp:keywords/>
  <dc:description/>
  <cp:lastModifiedBy>Lela Akiashvili</cp:lastModifiedBy>
  <cp:revision>5</cp:revision>
  <dcterms:created xsi:type="dcterms:W3CDTF">2020-07-22T12:20:00Z</dcterms:created>
  <dcterms:modified xsi:type="dcterms:W3CDTF">2020-07-24T10:48:00Z</dcterms:modified>
</cp:coreProperties>
</file>